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 SETTORE EDILIZIA PRIVATA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Sanzioni per interventi eseguiti in assenza o difformita' dalla segnalazione certificata di inizio attivita'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Sanzioni per interventi eseguiti in assenza o difformita' dalla segnalazione certificata di inizio attivita'.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